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3A7AC955" w:rsidR="00996E29" w:rsidRPr="00A72397" w:rsidRDefault="00A72397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7B9FC369" w:rsidR="00996E29" w:rsidRPr="001A7ABD" w:rsidRDefault="00C2065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8FAF5B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A72397">
        <w:rPr>
          <w:rFonts w:ascii="Times New Roman" w:hAnsi="Times New Roman"/>
          <w:b/>
          <w:bCs/>
          <w:i/>
          <w:iCs/>
          <w:sz w:val="24"/>
          <w:szCs w:val="24"/>
        </w:rPr>
        <w:t>22</w:t>
      </w:r>
      <w:r w:rsidR="00C2065B" w:rsidRPr="00C2065B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A75EA" w:rsidRPr="00FA75EA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FA75EA" w:rsidRPr="00FA75EA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87277D" w:rsidRPr="0087277D">
        <w:rPr>
          <w:rFonts w:ascii="Times New Roman" w:hAnsi="Times New Roman"/>
          <w:b/>
          <w:bCs/>
          <w:i/>
          <w:iCs/>
          <w:sz w:val="24"/>
          <w:szCs w:val="24"/>
        </w:rPr>
        <w:t>102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1AE7263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A72397">
        <w:rPr>
          <w:rFonts w:ascii="Times New Roman" w:hAnsi="Times New Roman"/>
          <w:b/>
          <w:bCs/>
          <w:i/>
          <w:iCs/>
          <w:color w:val="000000"/>
        </w:rPr>
        <w:t>22</w:t>
      </w:r>
      <w:r w:rsidR="00C2065B" w:rsidRPr="00C2065B">
        <w:rPr>
          <w:rFonts w:ascii="Times New Roman" w:hAnsi="Times New Roman"/>
          <w:b/>
          <w:bCs/>
          <w:i/>
          <w:iCs/>
          <w:color w:val="000000"/>
        </w:rPr>
        <w:t>3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A3626ED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A72397">
        <w:rPr>
          <w:b/>
          <w:i/>
          <w:sz w:val="22"/>
          <w:szCs w:val="22"/>
        </w:rPr>
        <w:t>22</w:t>
      </w:r>
      <w:r w:rsidR="00C2065B" w:rsidRPr="00C2065B">
        <w:rPr>
          <w:b/>
          <w:i/>
          <w:sz w:val="22"/>
          <w:szCs w:val="22"/>
        </w:rPr>
        <w:t>3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87277D">
        <w:rPr>
          <w:b/>
          <w:i/>
          <w:sz w:val="22"/>
          <w:szCs w:val="22"/>
        </w:rPr>
        <w:t>18</w:t>
      </w:r>
      <w:r w:rsidR="00F7299B">
        <w:rPr>
          <w:b/>
          <w:i/>
          <w:sz w:val="22"/>
          <w:szCs w:val="22"/>
        </w:rPr>
        <w:t>.</w:t>
      </w:r>
      <w:r w:rsidR="0087277D">
        <w:rPr>
          <w:b/>
          <w:i/>
          <w:sz w:val="22"/>
          <w:szCs w:val="22"/>
        </w:rPr>
        <w:t>05.2021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833D4A2" w:rsidR="00610E7E" w:rsidRPr="00FC2AE6" w:rsidRDefault="00FA75E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1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Сто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8DC3A8A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A72397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C2065B" w:rsidRPr="00C2065B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A72397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FA75E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392B38B2" w14:textId="77777777" w:rsidR="00C2065B" w:rsidRPr="00C2065B" w:rsidRDefault="00C2065B" w:rsidP="00C2065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C2065B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C2065B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C2065B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4A2ADC54" w14:textId="77777777" w:rsidR="00C2065B" w:rsidRPr="00C2065B" w:rsidRDefault="00C2065B" w:rsidP="00C2065B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C2065B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</w:t>
      </w:r>
    </w:p>
    <w:p w14:paraId="69537049" w14:textId="77777777" w:rsidR="00C2065B" w:rsidRPr="00C2065B" w:rsidRDefault="00C2065B" w:rsidP="00C2065B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C2065B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41077E54" w14:textId="77777777" w:rsidR="00C2065B" w:rsidRPr="00C2065B" w:rsidRDefault="00C2065B" w:rsidP="00C2065B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C2065B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6</w:t>
      </w:r>
    </w:p>
    <w:p w14:paraId="5786463D" w14:textId="77777777" w:rsidR="00C2065B" w:rsidRPr="00C2065B" w:rsidRDefault="00C2065B" w:rsidP="00C2065B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C2065B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C2065B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55417750" w14:textId="056B3FC3" w:rsidR="00C2065B" w:rsidRPr="00C2065B" w:rsidRDefault="00C2065B" w:rsidP="00C206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C2065B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C2065B">
        <w:rPr>
          <w:rFonts w:ascii="Times New Roman" w:eastAsia="Times New Roman" w:hAnsi="Times New Roman"/>
          <w:szCs w:val="20"/>
        </w:rPr>
        <w:t xml:space="preserve"> –</w:t>
      </w:r>
      <w:r w:rsidRPr="00C2065B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C2065B">
        <w:rPr>
          <w:rFonts w:ascii="Times New Roman" w:eastAsia="Times New Roman" w:hAnsi="Times New Roman"/>
          <w:szCs w:val="20"/>
        </w:rPr>
        <w:t>величина</w:t>
      </w:r>
      <w:r w:rsidRPr="00C2065B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C2065B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C2065B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C2065B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C2065B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4B8B1A25" w14:textId="77777777" w:rsidR="00C2065B" w:rsidRPr="00C2065B" w:rsidRDefault="00C2065B" w:rsidP="00C2065B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C2065B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C2065B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C2065B">
        <w:rPr>
          <w:rFonts w:ascii="Times New Roman" w:eastAsia="Times New Roman" w:hAnsi="Times New Roman"/>
          <w:b/>
          <w:i/>
          <w:szCs w:val="20"/>
        </w:rPr>
        <w:t>j</w:t>
      </w:r>
      <w:r w:rsidRPr="00C2065B">
        <w:rPr>
          <w:rFonts w:ascii="Times New Roman" w:eastAsia="Times New Roman" w:hAnsi="Times New Roman"/>
          <w:b/>
          <w:szCs w:val="20"/>
        </w:rPr>
        <w:t xml:space="preserve"> </w:t>
      </w:r>
      <w:r w:rsidRPr="00C2065B">
        <w:rPr>
          <w:rFonts w:ascii="Times New Roman" w:eastAsia="Times New Roman" w:hAnsi="Times New Roman"/>
          <w:szCs w:val="20"/>
        </w:rPr>
        <w:t xml:space="preserve">= 1, 2, 3, 4, 5, 6); </w:t>
      </w:r>
    </w:p>
    <w:p w14:paraId="3276CE5D" w14:textId="77777777" w:rsidR="00C2065B" w:rsidRPr="00C2065B" w:rsidRDefault="00C2065B" w:rsidP="00C2065B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C2065B">
        <w:rPr>
          <w:rFonts w:ascii="Times New Roman" w:eastAsia="Times New Roman" w:hAnsi="Times New Roman"/>
          <w:b/>
          <w:szCs w:val="20"/>
          <w:lang w:val="en-US"/>
        </w:rPr>
        <w:t>S</w:t>
      </w:r>
      <w:r w:rsidRPr="00C2065B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C2065B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C2065B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12D7A639" w14:textId="77777777" w:rsidR="00C2065B" w:rsidRPr="00C2065B" w:rsidRDefault="00C2065B" w:rsidP="00C2065B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C2065B">
        <w:rPr>
          <w:rFonts w:ascii="Times New Roman" w:eastAsia="Times New Roman" w:hAnsi="Times New Roman"/>
          <w:b/>
          <w:szCs w:val="20"/>
          <w:lang w:val="en-US"/>
        </w:rPr>
        <w:t>S</w:t>
      </w:r>
      <w:r w:rsidRPr="00C2065B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C2065B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C2065B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C2065B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C2065B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C2065B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C2065B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C2065B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C2065B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C2065B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7610836A" w14:textId="77777777" w:rsidR="00C2065B" w:rsidRPr="00C2065B" w:rsidRDefault="00C2065B" w:rsidP="00C2065B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C2065B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C2065B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C2065B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C2065B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C2065B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C2065B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C2065B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C2065B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C2065B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728E67E0" w14:textId="77777777" w:rsidR="00C2065B" w:rsidRPr="00C2065B" w:rsidRDefault="00C2065B" w:rsidP="00C2065B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C2065B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C2065B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C2065B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C2065B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C2065B">
        <w:rPr>
          <w:rFonts w:ascii="Times New Roman" w:eastAsia="Times New Roman" w:hAnsi="Times New Roman"/>
          <w:szCs w:val="20"/>
        </w:rPr>
        <w:t>установленный и опубликованный Банком России курс евро к рублю РФ, действующий по состоянию на Дату определения дополнительного дохода (</w:t>
      </w:r>
      <w:r w:rsidRPr="00C2065B">
        <w:rPr>
          <w:rFonts w:ascii="Times New Roman" w:eastAsia="Times New Roman" w:hAnsi="Times New Roman"/>
          <w:i/>
          <w:szCs w:val="20"/>
          <w:lang w:val="en-US"/>
        </w:rPr>
        <w:t>j</w:t>
      </w:r>
      <w:r w:rsidRPr="00C2065B">
        <w:rPr>
          <w:rFonts w:ascii="Times New Roman" w:eastAsia="Times New Roman" w:hAnsi="Times New Roman"/>
          <w:i/>
          <w:szCs w:val="20"/>
        </w:rPr>
        <w:t>)</w:t>
      </w:r>
      <w:r w:rsidRPr="00C2065B">
        <w:rPr>
          <w:rFonts w:ascii="Times New Roman" w:eastAsia="Times New Roman" w:hAnsi="Times New Roman"/>
          <w:szCs w:val="20"/>
        </w:rPr>
        <w:t>;</w:t>
      </w:r>
    </w:p>
    <w:p w14:paraId="5C33EBA4" w14:textId="77777777" w:rsidR="00C2065B" w:rsidRPr="00C2065B" w:rsidRDefault="00C2065B" w:rsidP="00C2065B">
      <w:pPr>
        <w:spacing w:before="120" w:after="120" w:line="240" w:lineRule="auto"/>
        <w:ind w:left="708"/>
        <w:jc w:val="both"/>
        <w:rPr>
          <w:rFonts w:ascii="Times New Roman" w:eastAsia="Times New Roman" w:hAnsi="Times New Roman"/>
          <w:szCs w:val="20"/>
        </w:rPr>
      </w:pPr>
      <w:r w:rsidRPr="00C2065B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C2065B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C2065B">
        <w:rPr>
          <w:rFonts w:ascii="Times New Roman" w:eastAsia="Times New Roman" w:hAnsi="Times New Roman"/>
          <w:szCs w:val="20"/>
        </w:rPr>
        <w:t>установленный и опубликованный Банком России курс евро к рублю РФ, действующий по состоянию на Дату начала размещения Биржевых облигаций.</w:t>
      </w:r>
    </w:p>
    <w:p w14:paraId="4EE3E8BD" w14:textId="77777777" w:rsidR="00C2065B" w:rsidRPr="00C2065B" w:rsidRDefault="00C2065B" w:rsidP="00C2065B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C2065B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C2065B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6368668E" w14:textId="7E79DF0C" w:rsidR="00C2065B" w:rsidRPr="00C2065B" w:rsidRDefault="00C2065B" w:rsidP="00C2065B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C2065B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C2065B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C2065B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C2065B">
        <w:rPr>
          <w:rFonts w:ascii="Times New Roman" w:eastAsia="Times New Roman" w:hAnsi="Times New Roman"/>
          <w:bCs/>
          <w:iCs/>
          <w:szCs w:val="20"/>
        </w:rPr>
        <w:t xml:space="preserve"> - 5-й (Пятый) Торговый день, предшествующий Дате выплаты дополнительного дохода. </w:t>
      </w:r>
      <w:r w:rsidRPr="00C2065B">
        <w:rPr>
          <w:rFonts w:ascii="Times New Roman" w:eastAsia="Times New Roman" w:hAnsi="Times New Roman"/>
          <w:color w:val="000000"/>
          <w:szCs w:val="20"/>
        </w:rPr>
        <w:t>Если значение Референсного актива не может быть определено в Дату определения дополнительного дохода, то последовательно перебираются 6-ой, 7-ой, 8-ой и так далее предшествующие Дате выплаты дополнительного дохода Торговые дни, пока значение Референсного актива не будет определено.</w:t>
      </w:r>
    </w:p>
    <w:p w14:paraId="37333E56" w14:textId="77777777" w:rsidR="00C2065B" w:rsidRPr="00C2065B" w:rsidRDefault="00C2065B" w:rsidP="00C2065B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C2065B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11"/>
        <w:tblW w:w="9345" w:type="dxa"/>
        <w:tblInd w:w="-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C2065B" w:rsidRPr="00C2065B" w14:paraId="2A63A915" w14:textId="77777777" w:rsidTr="00940C83">
        <w:tc>
          <w:tcPr>
            <w:tcW w:w="2830" w:type="dxa"/>
          </w:tcPr>
          <w:p w14:paraId="43EB4089" w14:textId="77777777" w:rsidR="00C2065B" w:rsidRPr="00C2065B" w:rsidRDefault="00C2065B" w:rsidP="00C206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C2065B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6515" w:type="dxa"/>
          </w:tcPr>
          <w:p w14:paraId="331792B3" w14:textId="77777777" w:rsidR="00C2065B" w:rsidRPr="00C2065B" w:rsidRDefault="00C2065B" w:rsidP="00C206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C2065B">
              <w:rPr>
                <w:rFonts w:ascii="Times New Roman" w:eastAsia="Times New Roman" w:hAnsi="Times New Roman"/>
                <w:szCs w:val="20"/>
                <w:lang w:val="en-US"/>
              </w:rPr>
              <w:t>ВТБ Капитал Европейские автопроизводители</w:t>
            </w:r>
          </w:p>
        </w:tc>
      </w:tr>
      <w:tr w:rsidR="00C2065B" w:rsidRPr="00C2065B" w14:paraId="531D98A0" w14:textId="77777777" w:rsidTr="00940C83">
        <w:tc>
          <w:tcPr>
            <w:tcW w:w="2830" w:type="dxa"/>
          </w:tcPr>
          <w:p w14:paraId="4C5A4C1E" w14:textId="77777777" w:rsidR="00C2065B" w:rsidRPr="00C2065B" w:rsidRDefault="00C2065B" w:rsidP="00C206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C2065B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6515" w:type="dxa"/>
          </w:tcPr>
          <w:p w14:paraId="3F26EB4C" w14:textId="77777777" w:rsidR="00C2065B" w:rsidRPr="00C2065B" w:rsidRDefault="00AC7ACA" w:rsidP="00C206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hyperlink r:id="rId8" w:history="1">
              <w:r w:rsidR="00C2065B" w:rsidRPr="00C2065B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https://index.vtbcapital.ru/VTBCAR/</w:t>
              </w:r>
            </w:hyperlink>
          </w:p>
        </w:tc>
      </w:tr>
    </w:tbl>
    <w:p w14:paraId="755B31BD" w14:textId="77777777" w:rsidR="00C2065B" w:rsidRPr="00C2065B" w:rsidRDefault="00C2065B" w:rsidP="00C2065B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C2065B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6902781" w14:textId="77777777" w:rsidR="00C2065B" w:rsidRPr="00C2065B" w:rsidRDefault="00C2065B" w:rsidP="00C2065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C2065B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C2065B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C2065B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C2065B">
        <w:rPr>
          <w:rFonts w:ascii="Times New Roman" w:eastAsia="Times New Roman" w:hAnsi="Times New Roman"/>
          <w:i/>
          <w:szCs w:val="20"/>
        </w:rPr>
        <w:t xml:space="preserve"> </w:t>
      </w:r>
      <w:r w:rsidRPr="00C2065B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C2065B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C2065B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C2065B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234865D8" w14:textId="77777777" w:rsidR="00C2065B" w:rsidRPr="00C2065B" w:rsidRDefault="00C2065B" w:rsidP="00C2065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C2065B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C2065B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C2065B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C2065B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2B77CB1D" w14:textId="77777777" w:rsidR="00C2065B" w:rsidRPr="00C2065B" w:rsidRDefault="00C2065B" w:rsidP="00C2065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C2065B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C2065B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37EE14AD" w14:textId="2DB7E17E" w:rsidR="00C2065B" w:rsidRPr="00C2065B" w:rsidRDefault="00C2065B" w:rsidP="00C2065B">
      <w:pPr>
        <w:pStyle w:val="Default"/>
        <w:spacing w:before="120"/>
        <w:jc w:val="both"/>
        <w:rPr>
          <w:b/>
          <w:i/>
          <w:szCs w:val="22"/>
        </w:rPr>
      </w:pPr>
      <w:r w:rsidRPr="00C2065B">
        <w:rPr>
          <w:rFonts w:eastAsia="Times New Roman"/>
          <w:bCs/>
          <w:iCs/>
          <w:color w:val="auto"/>
          <w:sz w:val="22"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C2065B" w:rsidRPr="00C2065B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DC2BB" w14:textId="77777777" w:rsidR="00AC7ACA" w:rsidRDefault="00AC7ACA" w:rsidP="0053664B">
      <w:pPr>
        <w:spacing w:after="0" w:line="240" w:lineRule="auto"/>
      </w:pPr>
      <w:r>
        <w:separator/>
      </w:r>
    </w:p>
  </w:endnote>
  <w:endnote w:type="continuationSeparator" w:id="0">
    <w:p w14:paraId="45B5AA40" w14:textId="77777777" w:rsidR="00AC7ACA" w:rsidRDefault="00AC7ACA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3B9E94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E15ED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BF772" w14:textId="77777777" w:rsidR="00AC7ACA" w:rsidRDefault="00AC7ACA" w:rsidP="0053664B">
      <w:pPr>
        <w:spacing w:after="0" w:line="240" w:lineRule="auto"/>
      </w:pPr>
      <w:r>
        <w:separator/>
      </w:r>
    </w:p>
  </w:footnote>
  <w:footnote w:type="continuationSeparator" w:id="0">
    <w:p w14:paraId="0F996734" w14:textId="77777777" w:rsidR="00AC7ACA" w:rsidRDefault="00AC7ACA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1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5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7"/>
  </w:num>
  <w:num w:numId="16">
    <w:abstractNumId w:val="7"/>
  </w:num>
  <w:num w:numId="17">
    <w:abstractNumId w:val="1"/>
  </w:num>
  <w:num w:numId="18">
    <w:abstractNumId w:val="0"/>
  </w:num>
  <w:num w:numId="19">
    <w:abstractNumId w:val="46"/>
  </w:num>
  <w:num w:numId="20">
    <w:abstractNumId w:val="25"/>
  </w:num>
  <w:num w:numId="21">
    <w:abstractNumId w:val="43"/>
  </w:num>
  <w:num w:numId="22">
    <w:abstractNumId w:val="32"/>
  </w:num>
  <w:num w:numId="23">
    <w:abstractNumId w:val="29"/>
  </w:num>
  <w:num w:numId="24">
    <w:abstractNumId w:val="24"/>
  </w:num>
  <w:num w:numId="25">
    <w:abstractNumId w:val="34"/>
  </w:num>
  <w:num w:numId="26">
    <w:abstractNumId w:val="31"/>
  </w:num>
  <w:num w:numId="27">
    <w:abstractNumId w:val="27"/>
  </w:num>
  <w:num w:numId="28">
    <w:abstractNumId w:val="44"/>
  </w:num>
  <w:num w:numId="29">
    <w:abstractNumId w:val="21"/>
  </w:num>
  <w:num w:numId="30">
    <w:abstractNumId w:val="38"/>
  </w:num>
  <w:num w:numId="31">
    <w:abstractNumId w:val="39"/>
  </w:num>
  <w:num w:numId="32">
    <w:abstractNumId w:val="33"/>
  </w:num>
  <w:num w:numId="33">
    <w:abstractNumId w:val="19"/>
  </w:num>
  <w:num w:numId="34">
    <w:abstractNumId w:val="26"/>
  </w:num>
  <w:num w:numId="35">
    <w:abstractNumId w:val="41"/>
  </w:num>
  <w:num w:numId="36">
    <w:abstractNumId w:val="28"/>
  </w:num>
  <w:num w:numId="37">
    <w:abstractNumId w:val="45"/>
  </w:num>
  <w:num w:numId="38">
    <w:abstractNumId w:val="30"/>
  </w:num>
  <w:num w:numId="39">
    <w:abstractNumId w:val="20"/>
  </w:num>
  <w:num w:numId="40">
    <w:abstractNumId w:val="14"/>
  </w:num>
  <w:num w:numId="41">
    <w:abstractNumId w:val="13"/>
  </w:num>
  <w:num w:numId="42">
    <w:abstractNumId w:val="42"/>
  </w:num>
  <w:num w:numId="43">
    <w:abstractNumId w:val="36"/>
  </w:num>
  <w:num w:numId="44">
    <w:abstractNumId w:val="15"/>
  </w:num>
  <w:num w:numId="45">
    <w:abstractNumId w:val="17"/>
  </w:num>
  <w:num w:numId="46">
    <w:abstractNumId w:val="4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15ED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C7AC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0FFF4DA8-8693-4272-AE39-E1C4B63F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ex.vtbcapital.ru/VTBCAR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C8F2B-BED8-41FA-BB9B-EEA1A731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4807</Words>
  <Characters>27400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2021-09-07T14:16:00Z</dcterms:created>
  <dcterms:modified xsi:type="dcterms:W3CDTF">2021-09-07T14:16:00Z</dcterms:modified>
</cp:coreProperties>
</file>